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不同年度标签配额产品合并方案</w:t>
      </w: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（征求意见稿）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自2013年深圳碳市场启动以来，深圳排放权交易所（以下简称排交所）根据《深圳市碳排放权交易管理暂行办法》（以下简称管理办法）的相关规定，按期将各年度签发的碳配额上市交易，</w:t>
      </w:r>
      <w:r>
        <w:rPr>
          <w:rFonts w:ascii="仿宋_GB2312" w:hAnsi="仿宋_GB2312" w:eastAsia="仿宋_GB2312" w:cs="仿宋_GB2312"/>
          <w:sz w:val="32"/>
        </w:rPr>
        <w:t>对应</w:t>
      </w:r>
      <w:r>
        <w:rPr>
          <w:rFonts w:hint="eastAsia" w:ascii="仿宋_GB2312" w:hAnsi="仿宋_GB2312" w:eastAsia="仿宋_GB2312" w:cs="仿宋_GB2312"/>
          <w:sz w:val="32"/>
        </w:rPr>
        <w:t>产生各年度标签</w:t>
      </w:r>
      <w:r>
        <w:rPr>
          <w:rFonts w:ascii="仿宋_GB2312" w:hAnsi="仿宋_GB2312" w:eastAsia="仿宋_GB2312" w:cs="仿宋_GB2312"/>
          <w:sz w:val="32"/>
        </w:rPr>
        <w:t>配额</w:t>
      </w:r>
      <w:r>
        <w:rPr>
          <w:rFonts w:hint="eastAsia" w:ascii="仿宋_GB2312" w:hAnsi="仿宋_GB2312" w:eastAsia="仿宋_GB2312" w:cs="仿宋_GB2312"/>
          <w:sz w:val="32"/>
        </w:rPr>
        <w:t>产品</w:t>
      </w:r>
      <w:r>
        <w:rPr>
          <w:rFonts w:ascii="仿宋_GB2312" w:hAnsi="仿宋_GB2312" w:eastAsia="仿宋_GB2312" w:cs="仿宋_GB2312"/>
          <w:sz w:val="32"/>
        </w:rPr>
        <w:t>。</w:t>
      </w:r>
      <w:r>
        <w:rPr>
          <w:rFonts w:hint="eastAsia" w:ascii="仿宋_GB2312" w:hAnsi="仿宋_GB2312" w:eastAsia="仿宋_GB2312" w:cs="仿宋_GB2312"/>
          <w:sz w:val="32"/>
        </w:rPr>
        <w:t>同时，根据管理办法“第二十七条</w:t>
      </w:r>
      <w:r>
        <w:rPr>
          <w:rFonts w:hint="eastAsia" w:ascii="仿宋_GB2312" w:hAnsi="仿宋" w:eastAsia="仿宋_GB2312"/>
          <w:kern w:val="0"/>
          <w:sz w:val="32"/>
        </w:rPr>
        <w:t>上一年度的配额可以结转至后续年度使用”的规定，</w:t>
      </w:r>
      <w:r>
        <w:rPr>
          <w:rFonts w:hint="eastAsia" w:ascii="仿宋_GB2312" w:hAnsi="仿宋_GB2312" w:eastAsia="仿宋_GB2312" w:cs="仿宋_GB2312"/>
          <w:sz w:val="32"/>
        </w:rPr>
        <w:t>不同年度配额具有相同的履约功能和价值，理论上</w:t>
      </w:r>
      <w:r>
        <w:rPr>
          <w:rFonts w:ascii="仿宋_GB2312" w:hAnsi="仿宋_GB2312" w:eastAsia="仿宋_GB2312" w:cs="仿宋_GB2312"/>
          <w:sz w:val="32"/>
        </w:rPr>
        <w:t>应当同质同价</w:t>
      </w:r>
      <w:r>
        <w:rPr>
          <w:rFonts w:hint="eastAsia" w:ascii="仿宋_GB2312" w:hAnsi="仿宋_GB2312" w:eastAsia="仿宋_GB2312" w:cs="仿宋_GB2312"/>
          <w:sz w:val="32"/>
        </w:rPr>
        <w:t>，但由于各年度标签配额产品流动性不同，导致价格各不相同。因此，为统一配额定价，提高市场交易效率，维护市场稳定，</w:t>
      </w:r>
      <w:r>
        <w:rPr>
          <w:rFonts w:hint="eastAsia" w:ascii="仿宋_GB2312" w:eastAsia="仿宋_GB2312"/>
          <w:sz w:val="32"/>
          <w:szCs w:val="36"/>
        </w:rPr>
        <w:t>排交所形成以下不同年度标签配额产品合并方案。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一、合并目的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解决不同年度配额同质不同价问题，实现配额统一定价，提高市场交易效率，维护市场稳定。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二、合并原则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</w:rPr>
      </w:pPr>
      <w:bookmarkStart w:id="0" w:name="_Hlk523317048"/>
      <w:r>
        <w:rPr>
          <w:rFonts w:hint="eastAsia" w:ascii="仿宋_GB2312" w:hAnsi="仿宋" w:eastAsia="仿宋_GB2312"/>
          <w:sz w:val="32"/>
        </w:rPr>
        <w:t>以</w:t>
      </w:r>
      <w:r>
        <w:rPr>
          <w:rFonts w:hint="eastAsia" w:ascii="仿宋_GB2312" w:hAnsi="仿宋" w:eastAsia="仿宋_GB2312"/>
          <w:b/>
          <w:sz w:val="32"/>
        </w:rPr>
        <w:t>收盘价相同</w:t>
      </w:r>
      <w:r>
        <w:rPr>
          <w:rFonts w:hint="eastAsia" w:ascii="仿宋_GB2312" w:hAnsi="仿宋" w:eastAsia="仿宋_GB2312"/>
          <w:sz w:val="32"/>
        </w:rPr>
        <w:t>为不同年度标签配额产品合并原则。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三、合并实施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自排交所发布《关于不同年度标签配额产品合并的通知》起的任一交易日，不同年度标签配额产品中任意两个以上配额产品的收盘价相同时，排交所将在当日收盘后，对当日收盘价相同的配额产品进行合并。合并后剩余不同标签配额产品仍在两个以上的，排交所将继续以该合并原则，对剩余不同标签配额产品进行合并，最终实现市场配额产品统一。</w:t>
      </w:r>
    </w:p>
    <w:bookmarkEnd w:id="0"/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四、合并后市场运行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1.交易系统配额产品年度标签变化，不改变深圳碳排放权益注册登记簿（以下简称登记簿）对配额的登记管理方式。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2.交易申报时，各交易参与人将以合并后形成的统一配额产品名称进行交易申报。可申报的卖出数量为被合并的不同年度配额产品的合计持仓数量。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3.排交所交易系统只展示剩余配额产品交易行情，被合并配额产品的交易行情不再展示。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4.结算交收时，排交所交易系统按照</w:t>
      </w:r>
      <w:r>
        <w:rPr>
          <w:rFonts w:hint="eastAsia" w:ascii="仿宋_GB2312" w:hAnsi="仿宋" w:eastAsia="仿宋_GB2312"/>
          <w:b/>
          <w:sz w:val="32"/>
        </w:rPr>
        <w:t>早年度配额优先</w:t>
      </w:r>
      <w:r>
        <w:rPr>
          <w:rFonts w:hint="eastAsia" w:ascii="仿宋_GB2312" w:hAnsi="仿宋" w:eastAsia="仿宋_GB2312"/>
          <w:sz w:val="32"/>
        </w:rPr>
        <w:t>的原则完成交易交收。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32"/>
        </w:rPr>
        <w:t>5.合并完成后，统一的配额产品简称为SZEA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592945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51307B"/>
    <w:rsid w:val="5E7E3DEB"/>
    <w:rsid w:val="75F2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2022-03-07T08:33:23Z</dcterms:created>
  <dc:creator>admin</dc:creator>
  <cp:lastModifiedBy>admin</cp:lastModifiedBy>
  <dcterms:modified xsi:type="dcterms:W3CDTF">2022-03-07T08:33:58Z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507937640BE644BE82B1531E28819929</vt:lpwstr>
  </property>
</Properties>
</file>